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69" w:rsidRDefault="00903569" w:rsidP="005A692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Дауленбаева Фарида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Тулебековна</w:t>
      </w:r>
      <w:proofErr w:type="spellEnd"/>
    </w:p>
    <w:p w:rsidR="00903569" w:rsidRDefault="00903569" w:rsidP="005A692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</w:p>
    <w:p w:rsidR="00903569" w:rsidRDefault="00903569" w:rsidP="005A692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 ПОУ «БЭРТТ»</w:t>
      </w:r>
    </w:p>
    <w:p w:rsidR="00903569" w:rsidRDefault="00903569" w:rsidP="005A692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Байконур</w:t>
      </w:r>
    </w:p>
    <w:p w:rsidR="00903569" w:rsidRDefault="00903569" w:rsidP="005A692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569" w:rsidRDefault="00903569" w:rsidP="005A69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И ПРОФЕССИОНАЛЬНЫХ КОМПЕТЕНЦИЙ СТУДЕНТОВ СПЕЦИАЛЬНОСТИ 46.02.01 «ДОУ </w:t>
      </w:r>
      <w:r>
        <w:rPr>
          <w:rFonts w:ascii="Times New Roman" w:hAnsi="Times New Roman" w:cs="Times New Roman"/>
          <w:sz w:val="28"/>
          <w:szCs w:val="28"/>
        </w:rPr>
        <w:t>И АРХИВОВЕДЕНИЕ</w:t>
      </w:r>
    </w:p>
    <w:p w:rsidR="00903569" w:rsidRPr="00903569" w:rsidRDefault="00903569" w:rsidP="005A69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569" w:rsidRDefault="00903569" w:rsidP="005A692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35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АННОТАЦИЯ</w:t>
      </w:r>
    </w:p>
    <w:p w:rsidR="0021698B" w:rsidRPr="00903569" w:rsidRDefault="0021698B" w:rsidP="005A692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8B" w:rsidRDefault="005A6926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69">
        <w:rPr>
          <w:rFonts w:ascii="Times New Roman" w:hAnsi="Times New Roman" w:cs="Times New Roman"/>
          <w:sz w:val="28"/>
          <w:szCs w:val="28"/>
        </w:rPr>
        <w:t>В статье рассмотрена проблема формирования общих</w:t>
      </w:r>
      <w:r w:rsidR="00903569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компетенций, а именно – способности к творческой деятельности у учащихся профессиональных образовательных учреждений по специальности 46.02.01 «Документационное обеспечение управления и архивоведение». Предложена система </w:t>
      </w:r>
      <w:r w:rsidR="00903569" w:rsidRPr="00903569">
        <w:rPr>
          <w:rFonts w:ascii="Times New Roman" w:hAnsi="Times New Roman" w:cs="Times New Roman"/>
          <w:sz w:val="28"/>
          <w:szCs w:val="28"/>
        </w:rPr>
        <w:t>проф</w:t>
      </w:r>
      <w:r w:rsidR="00903569">
        <w:rPr>
          <w:rFonts w:ascii="Times New Roman" w:hAnsi="Times New Roman" w:cs="Times New Roman"/>
          <w:sz w:val="28"/>
          <w:szCs w:val="28"/>
        </w:rPr>
        <w:t>ессиональной напра</w:t>
      </w:r>
      <w:r w:rsidR="0021698B">
        <w:rPr>
          <w:rFonts w:ascii="Times New Roman" w:hAnsi="Times New Roman" w:cs="Times New Roman"/>
          <w:sz w:val="28"/>
          <w:szCs w:val="28"/>
        </w:rPr>
        <w:t xml:space="preserve">вленности, основанная на реализации следующих технологий, таких как </w:t>
      </w:r>
      <w:r w:rsidR="0021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698B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информационно-коммуникационных технологий, в том числе сопровождение лекционного материала мультимедийными презентациями, видеороликами, с постановкой проблемного вопроса, с их последующим обсуждением; разработка опорных конспектов по методу В. Шаталова, ментальных карт, использование   интерактивных форм организации деятельности, таких как  групповое решение практико-ориентированных задач по заданному алгоритму, учебное проектирова</w:t>
      </w:r>
      <w:r w:rsidR="0021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игровое моделирование</w:t>
      </w:r>
      <w:r w:rsidR="0021698B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позволяют преодолеть возможные затруднения в освоении учебных дисциплин, не вызывая отторжения информации у обучающихся, в полной мере, соответствуя их образовательным потребностям, а также форм</w:t>
      </w:r>
      <w:r w:rsidR="0021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необходимые компетенции.</w:t>
      </w:r>
    </w:p>
    <w:p w:rsidR="0021698B" w:rsidRDefault="0021698B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учащихся формируется устойчивая мотивация к учебе и профессиональной деятельности, необходимые навыки самостоятельного изобретательства, а также личностные качества.</w:t>
      </w:r>
    </w:p>
    <w:p w:rsidR="00903569" w:rsidRPr="00903569" w:rsidRDefault="00903569" w:rsidP="005A69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8B" w:rsidRDefault="005A6926" w:rsidP="005A6926">
      <w:pPr>
        <w:shd w:val="clear" w:color="auto" w:fill="FFFFFF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21698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Ключевые слова</w:t>
      </w:r>
      <w:r w:rsidR="0021698B" w:rsidRPr="0021698B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  </w:t>
      </w:r>
    </w:p>
    <w:p w:rsidR="005A6926" w:rsidRDefault="005A6926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98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 образование; общие</w:t>
      </w:r>
      <w:r w:rsidR="0021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компетенции, профессиональные компетенции; модульно-компетен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тностный подход, методы активного обучения, наглядные средства.</w:t>
      </w:r>
    </w:p>
    <w:p w:rsidR="0021698B" w:rsidRPr="0021698B" w:rsidRDefault="0021698B" w:rsidP="005A69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B6ABA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Федеральных государственных образовательных стандартов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по специальности (ФГОС СПО)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поколения, которые представляют собой совокупность требований,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при реализации основных образовательных программ среднего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образовательными учреждениями, заложен</w:t>
      </w:r>
      <w:r w:rsid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 подход.</w:t>
      </w:r>
    </w:p>
    <w:p w:rsidR="00CD3AFB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СПО компетентность будущего специалиста включает в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общие и профессиональные компетенции. </w:t>
      </w:r>
    </w:p>
    <w:p w:rsidR="00CD3AFB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компетенции (ОК) – это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социально-личностных качеств выпускника, обеспечивающих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 на определенном квалификационном уровне.</w:t>
      </w:r>
    </w:p>
    <w:p w:rsidR="00CD3AFB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компетенция понимается как способность успешно действовать на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практического опыта, умений и знаний при решении задач, общих для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видов п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3AFB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(ПК) – способность действовать на основе имеющихся умений,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практического опыта в определенной области профессиональной</w:t>
      </w:r>
      <w:r w:rsidR="00BB6ABA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AFB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компетенции формируются в процессе учебной и внеучебной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студентов при изучении комплекса учебных дисциплин и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модулей. Выбор приемов и методов формирования и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общих компетенций является актуальным и важным для эффективной</w:t>
      </w:r>
      <w:r w:rsidR="009329F8" w:rsidRPr="00B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учебной деятельности студентов.</w:t>
      </w:r>
    </w:p>
    <w:p w:rsidR="00CD3AFB" w:rsidRPr="007A12C4" w:rsidRDefault="009329F8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общего образования разрабатывается по уровням образования, ФГОС профессионального образования могут разрабатываться также по профессиям, специальностям и направлениям подготовки по соответствующим уровням 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профессионального образования и заменяются новыми не реже одного раза в 10 лет. И ФЗ-№ 273 и ФГОС указывают на применение модульно-</w:t>
      </w:r>
      <w:proofErr w:type="spellStart"/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 обучении. В ФЗ-№ 273 говориться о том, что при реализации образовательных программ используются различные образовательные технологии и в том числе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 построения учебных планов. В ФГОС среднего профессионального образования к различным специальностям в разделе 5 указано что, специалист должен обладать общими компетенциями (далее ОК), включающими в себя способности (далее из ФГОС),</w:t>
      </w:r>
      <w:r w:rsidR="00BB6ABA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так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же должен обладать профессиональными компетенциями (далее ПК), соответствующими основным видам профессиональной деятельности к</w:t>
      </w:r>
      <w:r w:rsidR="00BB6ABA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аждой конкретной специальности.</w:t>
      </w:r>
    </w:p>
    <w:p w:rsidR="00BB6ABA" w:rsidRPr="007A12C4" w:rsidRDefault="009329F8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В разделе 6 указывается структура образовательной пр</w:t>
      </w:r>
      <w:r w:rsidR="00CD3AFB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ограммы, где общий гуманитарный 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и социа</w:t>
      </w:r>
      <w:r w:rsidR="00CD3AFB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льно-экономический, математический 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и общий естественно</w:t>
      </w:r>
      <w:r w:rsidR="00CD3AFB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r w:rsidR="00CD3AFB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циклы состоят из дисциплин. 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цикл состоит из общепрофессиональных дисциплин и профессиональных модулей в соответствии с основными видами деятельности. В состав профессионального модуля входит один или несколько междисциплинарных курсов. Из всего выше сказанного следует, что профессиональные образовательные организации должны применять форму организации </w:t>
      </w:r>
      <w:r w:rsidR="00CD3AFB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деятельности,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основанной на модульном принципе и устанавливать в качестве требования к результатам освоения основной профессиональной образовательной программы обладание способностями и видами профессиональной деятельности (компетенциями). </w:t>
      </w:r>
    </w:p>
    <w:p w:rsidR="00BB6ABA" w:rsidRPr="007A12C4" w:rsidRDefault="009329F8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Модульно-компетентностный по</w:t>
      </w:r>
      <w:r w:rsidR="00BB6ABA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дход в среднем профессиональном образовании — это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организации учебного процесса, на которую должен опираться преподаватель как общеобразовательных, так и профессиональных дисциплин. </w:t>
      </w:r>
    </w:p>
    <w:p w:rsidR="00BB6ABA" w:rsidRPr="007A12C4" w:rsidRDefault="009329F8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Модульно-компетентностный подход ставит своей целью обучения и освоение совокупности компетенций. Это означает, что цели любого занятия должны быть сформированы как необходимые компетенции, востребованные в профессиональной деятельности конкретного специалиста. Результатом освоения компетенций должны 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стать: знания и умения, которые обучающийся должен продемонстрировать по завершению курса лекций, практических и/или лабораторных занятий. </w:t>
      </w:r>
    </w:p>
    <w:p w:rsidR="00BB6ABA" w:rsidRPr="007A12C4" w:rsidRDefault="0035560E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рабочей программы по дисциплине «Правовое обеспечение профессиональной деятельности» рассмотрим общие и профессиональные компетенции.</w:t>
      </w:r>
    </w:p>
    <w:p w:rsidR="00CA616A" w:rsidRPr="00CA616A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программы дисциплины у </w:t>
      </w:r>
      <w:r w:rsidR="0035560E"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формируются</w:t>
      </w: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общие и профессиональные</w:t>
      </w:r>
      <w:r w:rsidRPr="00CA61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компетенции:</w:t>
      </w:r>
    </w:p>
    <w:p w:rsidR="005A6926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</w:t>
      </w: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A6926" w:rsidRDefault="00CA616A" w:rsidP="005A69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 2. Организовывать собственную деятельность, выбирать типовые </w:t>
      </w: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выполнения профессиональных задач, оценивать их эффективность и качество.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Организовывать рабочее место секретаря и руководителя.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Осуществлять телефонное обслуживание, принимать и передавать факсы.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вышесказанного видно, что одни и те же методы можно использовать для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нескольких общих компетенций, однако, весь перечень общих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формируется не последовательно, а одновременно. Формирование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компетенций происходит постоянно и не может быть обеспечено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мероприятием даже в рамках одной дисциплины.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Федеральных государственных образовательных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 третьего поколения перед педагогами стоит задача наиболее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использования различных методов для формирования общих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у студентов юридической специальности, позволяющих им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обрести опыт практической деятельности в процессе освоения основной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образовательной программы, овладеть способами</w:t>
      </w:r>
      <w:r w:rsidR="003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непрерывного профессионального и личностного роста.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специалиста решать поставленные задачи определяется сформированностью широкого спектра общих и профессиональных компетенций, обозначенных в федеральных государственных образовательных стандартах. 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профессиональной подготовки, необходимые компетенции формируются в ходе освоения всех учебных дисциплин, профессиональных модулей, разных видов практик, а </w:t>
      </w:r>
      <w:proofErr w:type="gramStart"/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внеучебной деятельности студентов. Вместе с тем, дисциплинам общепрофессионального цикла отводится особая роль в достижении результативности и качества подготовки выпускников, обладающих требуемыми компетенциями.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 можно сформировать и проверить на: уроке, лекции, семинаре, учебной экскурсии, тематической конференции, лабораторном или практическом занятии, курсовом проектиров</w:t>
      </w:r>
      <w:r w:rsidR="0035560E"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>ании, дипломном проектировании.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 профессиональными компетенциями сложнее, они заставляют преподавателей искать нестандартные формы занятий: ролевая игра, урок-путешествие, круглый </w:t>
      </w:r>
      <w:r w:rsidRPr="007A12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стол, урок-состязание, пресс-конференция, деловая игра, урок- КВН, мозговая атака, урок-викторина, урок-брифинг, дебаты. На таких занятиях трудно свести сущность образовательного процесса к передаче фактических данных и информации. Профессиональные знания и навыки могут сформироваться только тогда, когда в познавательную активность вовлекаются не только стандартные, но и не стандартные формы обучения. Применяя компетентностный подход, мы вовлекаем студентов в процесс напряженных профессиональных поисков, исследований.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решения задачи формирования общих и профессиональных </w:t>
      </w:r>
      <w:r w:rsidR="0035560E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студентов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цикла общепрофессиональных дисциплин во многом определяется выбором педагогических технологий, методов, средств и форм организации учебно-профессиональной деятельности. 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педагогическая практика характеризуется разнообразием инновационных образовательных технологий, выбор которых зависит от целей и задач деятельности, с учетом специфики будущей профессии, образовательных потребностей обучающихся и профессио</w:t>
      </w:r>
      <w:r w:rsidR="0035560E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компетенций педагога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ФГОС СПО ориентирует на активное внедрение в учебно-образовательный процесс активных форм организации деятельности студентов.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условиях педагогу важно выбрать такие технологии, методы, </w:t>
      </w:r>
      <w:r w:rsidR="0035560E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 формы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будут наиболее эффективны. А что значит эффективные?  То есть позволяющие достигать стабильно высоких результатов обучения, воспитания, развития за счет усовершенствования имеющихся ресурсов и оптимальной организации деятельности студентов с точки зрения затрат времени, усилий, средств.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конкретных технологий необходимо учитывать образовательные потребности самих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обучающися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их восприятия и когнитивной обработки информации. Для многих студентов выбор будущей профессиональной деятельности обусловлен внешними ситуативными факторами. Отсутствие устойчивой внутренней мотивации к учебно-профессиональной деятельности в особенности на начальных ее этапах, может вызвать серьезные затруднения, привести к академической задолженности. Систематическое использование рефлексивных 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технологий, методов, приемов при изучении дисциплин профессионального цикла необходимо для выявления и осознания каждым студентом мотивов собственной образовательной деятельности, соотнесения их с требованиями будущей специальности, позволяющей </w:t>
      </w:r>
      <w:r w:rsidR="00E75470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 различные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потребности и мотивы, и в конечном итоге направлено на </w:t>
      </w:r>
      <w:r w:rsidR="00E75470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ряда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компетенций. 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активного обучения: групповая дискуссия, кейс-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проектов, практико-ориентированных ситуационных задач и др., использующихся на учебных занятиях, включают рефлексивный анализ как необходимый, завершающий этап работы.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опыт самоисследования полученный студентами, соотносится с теоретическим материалом, который осмысливается как личностно </w:t>
      </w:r>
      <w:r w:rsidR="005A6926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значимый, переставая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отвлеченным, абстрактным знанием.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современных студентов свойственно так называемое «клиповое мышление», заключающееся в необходимости восприятия ярких образов, частой смены сообщений, дозированной подачи информации для ее последовательной логической переработки. При «клиповом мышлении» неизбежно возникают затруднения в работе с большими массивами информации, в том числе с текстом учебника, зачастую информация воспринимается обучающимися в качестве разрозненных фактов, логически не связанных между собой.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практическую знач</w:t>
      </w:r>
      <w:r w:rsidR="005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имость приобретают технологии, 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формы работы, позволяющие наглядно и максимально </w:t>
      </w:r>
      <w:r w:rsidR="005A6926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 представлять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направленные на стимулирование познавательной активности обучающихся, формирования </w:t>
      </w:r>
      <w:r w:rsidR="005A6926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 логической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 структурирования учебного материала, навыков критического мышления.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информационно-коммуникационных технологий, в том числе сопровождение лекционного материала мультимедийными презентациями, видеороликами, с постановкой проблемного вопроса, с их последующим обсуждением; разработка опорных конспектов по методу В. Шаталова, ментальных карт, использование   интерактивных форм организации деятельности, таких 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  групповое решение практико-ориентированных задач по заданному алгоритму, учебное проектирование, игровое моделирование и др., позволяют преодолеть возможные затруднения в освоении учебных дисциплин, не вызывая отторжения информации у обучающихся, в полной мере, соответствуя их образовательным потребностям, а также формировать необходимые компетенции.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мультимедийного сопровождения позволяет решать важную задачу обеспечения обучающихся доступными информационными ресурсами, необходимыми для эффективной организации самостоятельной работы. Все электронные образовательные ресурсы, разработанные преподавателями цикла, входят в структуру </w:t>
      </w:r>
      <w:r w:rsidR="005A6926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учебных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размещаются на сервере образовательного учреждения для свобо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использования студентами.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наглядных средств: фото, видеосюжетов, анимации, а также специального оборудования – электронных микроскопов, муляжей, фантомов для сопровождения теоретического материала обеспечивает доступность его восприятия,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 повышению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обучающихся к содержанию учебной дисциплины.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представленных технологий, методов на практических занятиях педагогами техникума наиболее интенсивно используется игровое моделирование, обладающее большими образовательными и развивающими возможностями, не требующее значительных временных и материальных ресурсов. В деловых играх моделируются профессиональные отношения, условия профессиональной деятельности, позволяющие включить студента в имитируемую профессиональную среду, то есть в деловой игре приобретаются необходимые умения и навыки правильного выполнения своих профессиональных функций, что способствует интенсивному профессиональному развитию и позволяет сократить разрыв между теорией и практикой в обучении.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опорного конспекта, помогает студентам обеспечить представление целостной картины изучаемого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выделять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логические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 способствует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обобщению и систематизации. Опорный конспект - построенная по специальным принципам визуальная модель содержания учебного материала, в 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сжато изображены основные смыслы изучаемой темы, а также используются графические приемы повышения эффекта запоминания и усвоения.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основанием выбора современных образовательных технологий при изучении дисциплин общепрофессионального цикла является интегративность, как возможность их применения одновременно с целью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контроля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учебно-профессиональной деятельности, а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высокая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диагностичность, необходимая для оценки уровня сформированности тех или иных компетенций. Таким критериям в полной мере соотвествуют </w:t>
      </w:r>
      <w:r w:rsidR="005A6926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кейс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75470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="00E75470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проектной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470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 метод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значимым основанием выбора является универсальность метода, как возможность его использования при организации как аудиторной,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и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внеаудиторной работы студентов. Такому критерию соответствуют информационно-коммуникационные технологии, технологии критического мышления, технологии проектной деятельности и метод портфолио. Так, например, при разработке рабочих тетрадей для самостоятельной работы студентов, все преподаватели цикла включают в их содержание разноуровневые задания, задания, предусматривающие логическую обработку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 (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логических схем, заполнение таблиц, разработка графиков и пр.), задания творческого характера. Активно используется метод учебного проектирования, предполагающий как индивидуальную, так и групповую формы работы. 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опыт преподавате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цикла общепрофессиональных </w:t>
      </w:r>
      <w:r w:rsidR="00E75470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выявили наиболее активно используемые технологии, методы, формы организации деятельности, а также их возможности и преимущества для решения спектра образовательных задач.</w:t>
      </w:r>
    </w:p>
    <w:p w:rsidR="00E75470" w:rsidRDefault="00CA616A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качестве актуальной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остается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средств для оценки сформированности общих и профессиональных компетенций обучающихся. Для решения этой задачи требуется объединение усилий преподавателей цикла, в первую 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 для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показателей и критериев формируемых компетенций. Решение этой задачи позволит установить прочные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дисциплинами общепрофессионального цикла, а также привести 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компетенции, формируемых на нескольких дисциплинах, в единую систему. Отечественные авторы С.В.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Тормасин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Н.П. Пучков отмечают: «Схему, предусматривающую подготовку специалиста посредством формирования у него модели компетенций, можно считать идеальной, если в процессе ее практической реализации, когда многие компетенции формируются группой дисциплин, удастся уделить настолько должное внимание связям между компетенциями, что в результате обучения выпускник имеет именно систему компет</w:t>
      </w:r>
      <w:r w:rsidR="00FB5F63"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енций, а не просто их набор»</w:t>
      </w: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этого следует, что учебные задания, предъявляемые студенту, должны служить организации компетенций в систему. </w:t>
      </w:r>
    </w:p>
    <w:p w:rsidR="00CA616A" w:rsidRPr="007A12C4" w:rsidRDefault="00FB5F63" w:rsidP="00E754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уровень освоения профессиональных компетенций формируется в результате действия не только со стороны преподавателя, но и как результат деятельности обучающегося с точки зрения его продвижения и развития в процессе приобретения им определенного профессионального и социального опыта.</w:t>
      </w:r>
    </w:p>
    <w:p w:rsidR="00CD3AFB" w:rsidRPr="005A6926" w:rsidRDefault="00CD3AFB" w:rsidP="005A69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D3AFB" w:rsidRDefault="00CD3AFB" w:rsidP="00CD3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B5F63" w:rsidRPr="00CA616A" w:rsidRDefault="00FB5F63" w:rsidP="00CA6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26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0" w:rsidRDefault="00E75470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0" w:rsidRDefault="00E75470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6A" w:rsidRPr="007A12C4" w:rsidRDefault="005A6926" w:rsidP="00CD3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  <w:bookmarkStart w:id="0" w:name="_GoBack"/>
      <w:bookmarkEnd w:id="0"/>
    </w:p>
    <w:p w:rsidR="00CA616A" w:rsidRPr="007A12C4" w:rsidRDefault="00CA616A" w:rsidP="00CA6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12C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D3AFB" w:rsidRPr="007A12C4" w:rsidRDefault="00CD3AFB" w:rsidP="005A692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C4">
        <w:rPr>
          <w:rFonts w:ascii="Times New Roman" w:hAnsi="Times New Roman" w:cs="Times New Roman"/>
          <w:sz w:val="28"/>
          <w:szCs w:val="28"/>
        </w:rPr>
        <w:t xml:space="preserve">Арасланова В.А. Деловая игра как средство формирования профессиональных компетенций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документоведов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// Современные исследования социальных проблем (электронный научный журнал),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. 2015. № 2 (46). URL: </w:t>
      </w:r>
      <w:hyperlink r:id="rId5" w:history="1">
        <w:r w:rsidRPr="007A1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www.sisp.nkras.ru</w:t>
        </w:r>
      </w:hyperlink>
      <w:r w:rsidRPr="007A12C4">
        <w:rPr>
          <w:rFonts w:ascii="Times New Roman" w:hAnsi="Times New Roman" w:cs="Times New Roman"/>
          <w:sz w:val="28"/>
          <w:szCs w:val="28"/>
        </w:rPr>
        <w:t>.</w:t>
      </w:r>
    </w:p>
    <w:p w:rsidR="00CD3AFB" w:rsidRPr="007A12C4" w:rsidRDefault="00CD3AFB" w:rsidP="005A692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2C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Е.С. Учебная практика как базис формирования профессиональных компетенций у студентов специальности «Документационное обеспечение управления и архивоведение»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 политехнического колледжа // Образовательная среда сегодня: стратегии развития: материалы VI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2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A12C4">
        <w:rPr>
          <w:rFonts w:ascii="Times New Roman" w:hAnsi="Times New Roman" w:cs="Times New Roman"/>
          <w:sz w:val="28"/>
          <w:szCs w:val="28"/>
        </w:rPr>
        <w:t xml:space="preserve">. (Чебоксары, 11 мая 2016 </w:t>
      </w:r>
    </w:p>
    <w:p w:rsidR="00CD3AFB" w:rsidRPr="007A12C4" w:rsidRDefault="00CA616A" w:rsidP="005A692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 Педагогика: Учеб. пособие для студ.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В. А.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Ф. Исаев, Е. Н.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В.А. </w:t>
      </w: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М.,2002.</w:t>
      </w:r>
    </w:p>
    <w:p w:rsidR="00CD3AFB" w:rsidRPr="007A12C4" w:rsidRDefault="00CA616A" w:rsidP="005A692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Тормасин</w:t>
      </w:r>
      <w:proofErr w:type="spellEnd"/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C.B., Пучков Н.П. Организационно-методические проблемы интеграции компетенций [Электронный ресурс]. – режим доступа: </w:t>
      </w:r>
      <w:hyperlink r:id="rId6" w:history="1">
        <w:r w:rsidR="00CD3AFB" w:rsidRPr="007A12C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http://vernadsky.tstu.ru/ru/vjpusk/2012/vjpusk-01.php</w:t>
        </w:r>
      </w:hyperlink>
      <w:r w:rsidRPr="007A1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6A" w:rsidRPr="007A12C4" w:rsidRDefault="00CA616A" w:rsidP="007A1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47" w:rsidRPr="00CD3AFB" w:rsidRDefault="00496E47" w:rsidP="00CD3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E47" w:rsidRPr="00CD3AFB" w:rsidSect="00BB6A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105"/>
    <w:multiLevelType w:val="hybridMultilevel"/>
    <w:tmpl w:val="B5BA25F2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823A3"/>
    <w:multiLevelType w:val="hybridMultilevel"/>
    <w:tmpl w:val="C832A21E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64595"/>
    <w:multiLevelType w:val="multilevel"/>
    <w:tmpl w:val="3946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6A"/>
    <w:rsid w:val="001D5C1A"/>
    <w:rsid w:val="0021698B"/>
    <w:rsid w:val="0035560E"/>
    <w:rsid w:val="00496E47"/>
    <w:rsid w:val="005A6926"/>
    <w:rsid w:val="007A12C4"/>
    <w:rsid w:val="00903569"/>
    <w:rsid w:val="009329F8"/>
    <w:rsid w:val="00BB6ABA"/>
    <w:rsid w:val="00CA616A"/>
    <w:rsid w:val="00CD3AFB"/>
    <w:rsid w:val="00E75470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ABAF"/>
  <w15:chartTrackingRefBased/>
  <w15:docId w15:val="{21182863-0E1A-4807-A8B4-0EC969C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6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3A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F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1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nadsky.tstu.ru/ru/vjpusk/2012/vjpusk-01.php" TargetMode="External"/><Relationship Id="rId5" Type="http://schemas.openxmlformats.org/officeDocument/2006/relationships/hyperlink" Target="http://www.sisp.n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Дауленбаева</dc:creator>
  <cp:keywords/>
  <dc:description/>
  <cp:lastModifiedBy>Фарида Дауленбаева</cp:lastModifiedBy>
  <cp:revision>2</cp:revision>
  <cp:lastPrinted>2018-10-17T16:45:00Z</cp:lastPrinted>
  <dcterms:created xsi:type="dcterms:W3CDTF">2018-10-20T08:10:00Z</dcterms:created>
  <dcterms:modified xsi:type="dcterms:W3CDTF">2018-10-20T08:10:00Z</dcterms:modified>
</cp:coreProperties>
</file>