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        Пути совершенствования инвестиционной политики фирмы.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Целью инвестиций является увеличение продаж и диверсификация деятельности за счет развития новых направлений бизнеса, что позволяет получать чистую прибыль в будущем.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Инвестиции могут быть классифицированы по различным характеристикам: содержание инвестиционного ресурса, предмет и объект инвестирования, форма собственности, характер участия компании в инвестиционном процессе и срок инвестирования.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зависимости от содержания экономических ресурсов, вложенных в развитие предприятия, выделяются денежные средства, имущество, имущественные права, земельные права и другие ценные бумаги.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Различают инвестиции юридических и физических лиц, государственных (в том числе иностранные), международных организаций, соответствующие частным, государственным и общим формам собственности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Частные инвестиции характеризуются вложением средств физических лиц и коммерческих организаций в негосударственные формы (в том числе в иностранную собственность).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инвестиции - это инвестиции в государственные предприятия, а также средства государственных бюджетов всех уровней.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Совместные инвестиции - это инвестиции отечественных и зарубежных инвесторов в создание совместных предприятий.[3]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Объекты промышленной и интеллектуальной собственности могут быть субъектами инвестиционной деятельности; в зависимости от характера участия компании в инвестиционном процессе выделяются прямые и косвенные инвестиции. При прямых инвестициях инвестор принимает непосредственное участие в выборе объекта инвестирования. Во втором случае финансовые посредники или взаимные фонды выполняют эту работу. Косвенные инвестиции включают покупку ценных бумаг.</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Главной особенностью классификации является объект инвестирования,  на основе которого выделяются реальные (прямые), финансовые (портфельные) и интеллектуальные инвестиции.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Реальные (прямые) инвестиции: любая валюта инвестируется в реальные активы, связанные с производством товаров и услуг для получения прибыли. Это инвестиции в основной капитал, направленные на повышение производственных и непроизводственных целей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Финансовые (портфельные инвестиции): денежные вложения в акции, облигации и другие частные и корпоративные компании, а также государственные ценные бумаги, выпущенные с целью получения прибыли. Его цель-формирование портфеля ценных бумаг.</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Инвестиции в нематериальные активы включают инвестиции в НИОКР, обучение персонала, получение лицензий на использование новых технологий, использование товарных знаков известных компаний и т. 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Инвестиционная деятельность компании включает следующие этапы: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разработка инвестиционной стратегии;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стратегическое планирование;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инвестиционное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проектов и фактической эффективности инвестиций.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Инвестиционная стратегия заключается в выборе долгосрочного пути развития компании, имеющей собственные источники финансирования и возможности получения заемных средств, а также прогнозирование проекта и возврата совокупных активов. Стратегический план заключается в совершенствовании инвестиционной стратегии с помощью перечня инвестиционных проектов и планов долгосрочного инвестиционного финансирования. Инвестиционный проект может быть представлен в виде технико-экономического обоснования или бизнес-плана.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определенные особенности инвестиционной деятельности компании. Они следующие: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Объем инвестиционной активности предприятия позволяет оценить темпы экономического развития предприятия. Для них характерны два показателя: общий объем инвестиций и чистый объем инвестиций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Совокупные инвестиции-это совокупные средства, вложенные в определенный период деятельности компании, направленные на создание, расширение или обновление основных средств, приобретение нематериальных активов и увеличение запасов.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Чистые инвестиции-это общая сумма инвестиций за определенный период, уменьшенная на сумму амортизационных отчислений за тот же период. Динамика чистых инвестиций определяет характер экономического развития компании и ее потенциал для получения прибыли.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Цикличность инвестиционной деятельности, обусловленная необходимостью восстановления морального и материального потребления основных средств, а также расширения производства, происходит в определенные промежутки времени.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Инвестиционные затраты и выгоды. Сумма за этот период зависит от формы инвестиционного процесса, проводимого компанией. Существует три основные формы инверсионного процесса: последовательный, параллельный и интервальный. Параллельно с инвестиционным процессом формирование окупаемости инвестиций обычно начинается до полного завершения инвестиционного процесса. Если инвестиционный процесс продолжается, прибыль от инвестиций будет сгенерирована сразу после завершения инвестиций. В случае инвестиционного процесса существует определенный период времени между завершением капитальных вложений и формированием инвестиционной прибыли компании.</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Возможность инвестиционного риска. Эти риски в основном связаны с изменениями во внешней среде (налоговая система, рыночная среда, валютное регулирование и т. д.).</w:t>
      </w:r>
    </w:p>
    <w:p>
      <w:pPr>
        <w:spacing w:before="0" w:after="0" w:line="360"/>
        <w:ind w:right="0" w:left="0" w:firstLine="709"/>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Анализ инвестиционной политики буцдет проведен на примере СГ </w:t>
      </w:r>
      <w:r>
        <w:rPr>
          <w:rFonts w:ascii="Times New Roman" w:hAnsi="Times New Roman" w:cs="Times New Roman" w:eastAsia="Times New Roman"/>
          <w:color w:val="auto"/>
          <w:spacing w:val="0"/>
          <w:position w:val="0"/>
          <w:sz w:val="28"/>
          <w:shd w:fill="auto" w:val="clear"/>
        </w:rPr>
        <w:t xml:space="preserve">"Альфа Страхование"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Страховая группа "Альфа Страхование" - крупнейшая частная Страховая группа в России, имеющая универсальный портфель страховых услуг, включающий комплексные программы защиты корпоративных интересов и широкий спектр индивидуальных страховых продуктов. Группа компаний входит в число российских страховщиков, имеющих системное значение.[15]</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АльфаСтрахование имеет широкое представительство в регионах России-270 региональных представительств в стране.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группы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входят[9]:</w:t>
      </w:r>
    </w:p>
    <w:p>
      <w:pPr>
        <w:numPr>
          <w:ilvl w:val="0"/>
          <w:numId w:val="5"/>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w:t>
      </w:r>
    </w:p>
    <w:p>
      <w:pPr>
        <w:numPr>
          <w:ilvl w:val="0"/>
          <w:numId w:val="5"/>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Страхование-Жизнь</w:t>
      </w:r>
      <w:r>
        <w:rPr>
          <w:rFonts w:ascii="Times New Roman" w:hAnsi="Times New Roman" w:cs="Times New Roman" w:eastAsia="Times New Roman"/>
          <w:color w:val="auto"/>
          <w:spacing w:val="0"/>
          <w:position w:val="0"/>
          <w:sz w:val="28"/>
          <w:shd w:fill="auto" w:val="clear"/>
        </w:rPr>
        <w:t xml:space="preserve">»;</w:t>
      </w:r>
    </w:p>
    <w:p>
      <w:pPr>
        <w:numPr>
          <w:ilvl w:val="0"/>
          <w:numId w:val="5"/>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Страхование-ОМС</w:t>
      </w:r>
      <w:r>
        <w:rPr>
          <w:rFonts w:ascii="Times New Roman" w:hAnsi="Times New Roman" w:cs="Times New Roman" w:eastAsia="Times New Roman"/>
          <w:color w:val="auto"/>
          <w:spacing w:val="0"/>
          <w:position w:val="0"/>
          <w:sz w:val="28"/>
          <w:shd w:fill="auto" w:val="clear"/>
        </w:rPr>
        <w:t xml:space="preserve">»;</w:t>
      </w:r>
    </w:p>
    <w:p>
      <w:pPr>
        <w:numPr>
          <w:ilvl w:val="0"/>
          <w:numId w:val="5"/>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Медицина Альфа Страхование</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АО "Альфа Страхование" является крупнейшей частной страховой компанией России по оценке журнала Forbes. Штаб-квартира компании находится в Москве.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Компания занимается страхованием и перестрахованием на основании лицензий на осуществление страхования СЛ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 </w:t>
      </w:r>
      <w:r>
        <w:rPr>
          <w:rFonts w:ascii="Times New Roman" w:hAnsi="Times New Roman" w:cs="Times New Roman" w:eastAsia="Times New Roman"/>
          <w:color w:val="auto"/>
          <w:spacing w:val="0"/>
          <w:position w:val="0"/>
          <w:sz w:val="28"/>
          <w:shd w:fill="auto" w:val="clear"/>
        </w:rPr>
        <w:t xml:space="preserve">СИ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 </w:t>
      </w:r>
      <w:r>
        <w:rPr>
          <w:rFonts w:ascii="Times New Roman" w:hAnsi="Times New Roman" w:cs="Times New Roman" w:eastAsia="Times New Roman"/>
          <w:color w:val="auto"/>
          <w:spacing w:val="0"/>
          <w:position w:val="0"/>
          <w:sz w:val="28"/>
          <w:shd w:fill="auto" w:val="clear"/>
        </w:rPr>
        <w:t xml:space="preserve">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2239-02, </w:t>
      </w:r>
      <w:r>
        <w:rPr>
          <w:rFonts w:ascii="Times New Roman" w:hAnsi="Times New Roman" w:cs="Times New Roman" w:eastAsia="Times New Roman"/>
          <w:color w:val="auto"/>
          <w:spacing w:val="0"/>
          <w:position w:val="0"/>
          <w:sz w:val="28"/>
          <w:shd w:fill="auto" w:val="clear"/>
        </w:rPr>
        <w:t xml:space="preserve">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2239-03, </w:t>
      </w:r>
      <w:r>
        <w:rPr>
          <w:rFonts w:ascii="Times New Roman" w:hAnsi="Times New Roman" w:cs="Times New Roman" w:eastAsia="Times New Roman"/>
          <w:color w:val="auto"/>
          <w:spacing w:val="0"/>
          <w:position w:val="0"/>
          <w:sz w:val="28"/>
          <w:shd w:fill="auto" w:val="clear"/>
        </w:rPr>
        <w:t xml:space="preserve">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2239-04 </w:t>
      </w:r>
      <w:r>
        <w:rPr>
          <w:rFonts w:ascii="Times New Roman" w:hAnsi="Times New Roman" w:cs="Times New Roman" w:eastAsia="Times New Roman"/>
          <w:color w:val="auto"/>
          <w:spacing w:val="0"/>
          <w:position w:val="0"/>
          <w:sz w:val="28"/>
          <w:shd w:fill="auto" w:val="clear"/>
        </w:rPr>
        <w:t xml:space="preserve">и 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2239-05 </w:t>
      </w:r>
      <w:r>
        <w:rPr>
          <w:rFonts w:ascii="Times New Roman" w:hAnsi="Times New Roman" w:cs="Times New Roman" w:eastAsia="Times New Roman"/>
          <w:color w:val="auto"/>
          <w:spacing w:val="0"/>
          <w:position w:val="0"/>
          <w:sz w:val="28"/>
          <w:shd w:fill="auto" w:val="clear"/>
        </w:rPr>
        <w:t xml:space="preserve">и на осуществление перестрахования ПС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2239, </w:t>
      </w:r>
      <w:r>
        <w:rPr>
          <w:rFonts w:ascii="Times New Roman" w:hAnsi="Times New Roman" w:cs="Times New Roman" w:eastAsia="Times New Roman"/>
          <w:color w:val="auto"/>
          <w:spacing w:val="0"/>
          <w:position w:val="0"/>
          <w:sz w:val="28"/>
          <w:shd w:fill="auto" w:val="clear"/>
        </w:rPr>
        <w:t xml:space="preserve">выданных ЦБ РФ 13 января 2016 года.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2018 году "Альфастрасегование" заняло 4-е место по совокупным страховым взносам на российском рынке (101,5 млрд рублей, 6,86% доли рынка) и 1-е место по ОСАГО (35,5 млрд рублей, 15,73% доли рынка).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Размер уставного капитала 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7,5 </w:t>
      </w:r>
      <w:r>
        <w:rPr>
          <w:rFonts w:ascii="Times New Roman" w:hAnsi="Times New Roman" w:cs="Times New Roman" w:eastAsia="Times New Roman"/>
          <w:color w:val="auto"/>
          <w:spacing w:val="0"/>
          <w:position w:val="0"/>
          <w:sz w:val="28"/>
          <w:shd w:fill="auto" w:val="clear"/>
        </w:rPr>
        <w:t xml:space="preserve">млрд руб.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Надежность и финансовую стабильность компании подтверждают рейтинги ведущих международных и российских рейтинговых агентств: "BB+" по шкале Fitch Ratings, "BB+" по шкале S &amp; P и "giaa+" по шкале "Эксперт 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 имеет долгосрочные деловые отношения с крупнейшими в мире перестраховочными обществами и страховыми компаниями России. Сотрудничество осуществляется как напрямую, так и через международных брокеров: Willis Towers Watson, Marsh Limited, AON Benfield и других брокеров. Иностранными партнерами АО "Альфа Страхование " по перестрахованию являются Swiss Re, Hannover Re, SCOR, Munich Re, GenRe, Partner Re, участники рынка Lloyd's of London.</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выполняет свои обязательства перед страхователями своевременно и в полном объеме. Клиентам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выплачено страховое и гарантийное возмещение в размере 8 420248 тысяч рублей.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Страховые резервы размещаются в высоколиквидных и прибыльных активах. Страховые резервы составляют более половины источников финансирования компании. Большинство страховых резервов для видов страхования, отличных от страхования жизни, поскольку срок заключения таких договоров обычно не превышает одного года, обычно используются в течение года с даты их получения. Следует иметь в виду, что часть этих средств может потребоваться в любое время для осуществления страховых выплат по договорам страхования, поскольку это может произойти даже на следующий день после заключения договора.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средства, полученные по договорам страхования, не являющимся страхованием жизни, могут быть инвестированы в основном в высоколиквидные, среднесрочные и краткосрочные активы. Эти инвестиции должны удовлетворять срочные и внезапные потребности страховых компаний в денежных средствах, например, для осуществления страховых платежей.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Среди средств, которые могут использоваться для инвестирования, следует выделить резервы предупредительных мероприятий. Однако доля их в структуре средств компании в настоящее время мала. Размеры этих резервов в последние годы практически не увеличиваются. За последние три года наблюдаются лишь незначительные изменения в структуре резервов предупредительных мероприятий. Так, по состоянию на 31.03.2018 г. размер уставного капитала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Страхование-Жизнь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111, 277 </w:t>
      </w:r>
      <w:r>
        <w:rPr>
          <w:rFonts w:ascii="Times New Roman" w:hAnsi="Times New Roman" w:cs="Times New Roman" w:eastAsia="Times New Roman"/>
          <w:color w:val="auto"/>
          <w:spacing w:val="0"/>
          <w:position w:val="0"/>
          <w:sz w:val="28"/>
          <w:shd w:fill="auto" w:val="clear"/>
        </w:rPr>
        <w:t xml:space="preserve">млн рублей.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средств страховых резервов (привлеченных ресурсов) страховая компания имеет также собственные средства, которые могут быть использованы в инвестиционной деятельности (уставный, резервный, добавочный капитал, а также нераспределенная прибыль). В настоящее время размер Уставного капитала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группа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завершения дополнительной эмиссии составляет 5124802320 руб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Собственные средства могут быть использованы для содействия развитию организации, а также для обеспечения ее устойчивости и способности выполнять свои обязательства. Поскольку эти ресурсы, как правило, свободны от конкретных обязательств, часть из них может быть инвестирована в относительно долгосрочные и менее ликвидные инвестиции.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Доля собственного капитала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последние годы имеет тенденцию к росту. Рост собственных средств повышает финансовую стабильность компании и создает основу для дальнейшего расширения операций.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Устойчивый рост собственных средств свидетельствует о более высокой степени надежности компании. Постоянный рост собственных средств свидетельствует о повышении степени надежности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инвестиционный капитал организации (собственный капитал, страховые резервы и резервы предупредительных мероприятий) являются основными источниками инвестиционных ресурсов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Цели инвестиционной политики "Альфа-страхование" должны включать: доходность, надежность и ликвидность инвестиционных вложений.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Портфель компании формируется в соответствии с требованиями консервативной инвестиционной стратегии, направленной на диверсификацию рисков, обеспечение операционной ликвидности компании и получение стабильно высокой доходности вложенного капитала. Инвестиционными объектами компании являются инвестиционные инструменты, объем которых ограничен приказом Министерства финансов Российской Федерации от 16.03.2000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w:t>
      </w:r>
      <w:r>
        <w:rPr>
          <w:rFonts w:ascii="Times New Roman" w:hAnsi="Times New Roman" w:cs="Times New Roman" w:eastAsia="Times New Roman"/>
          <w:color w:val="auto"/>
          <w:spacing w:val="0"/>
          <w:position w:val="0"/>
          <w:sz w:val="28"/>
          <w:shd w:fill="auto" w:val="clear"/>
        </w:rPr>
        <w:t xml:space="preserve">Н. Среди прочего, наиболее широкими объектами инвестиций компании являются банковские депозиты и банковские векселя, государственные и муниципальные ценные бумаги, корпоративные облигации и акции, золотые слитки, недвижимость, акции инвестиционных фондов и обыкновенные активы под управлением банка.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активов характеризуется нестабильной динамикой. В последние годы объем инвестиций компании и ее доля в структуре активов существенно изменились. В 2017 году объем инвестиций составил 8 512 219 тыс. рублей. В 2018 году объем инвестиций значительно увеличился и составил 13 836 238 рублей.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инвестиционного портфеля в венчурной валюте: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Акции инструментов в USD 60-100%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Действия инструмента в RUR 0-40%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Доля инструментов в евро 0-10%.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если в 2016 году доля инвестиций в структуре активов организации составляла 47%, то сегодня наблюдается снижение доли инвестиций в структуре активов - 46%.</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Инвестиции в приобретение государственных и муниципальных ценных бумаг составляют небольшую часть портфеля организации. На такие ценные бумаги приходится менее 3% инвестиций.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углубления анализа инвестиционной политики организации необходимо учитывать инвестиционную структуру страховых резервов.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Значительная доля средств, размещенных на расчетных счетах в банках. На позиции данного вида "Альфа-Страхование" приходится 20% страховых резервов.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Доля инвестиций в банковские депозиты (срочные депозиты) и банкноты составляет около 30% страховых резервов. Как видите, у компании больше половины страховых резервов в банке.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Инвестиции в акции страховых резервов уступают инвестициям в активы различных банков и составляют около 22%. Инвестиции в облигации составляют около 13% их резервов. Около 3% страховых резервов находятся в собственности.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Вкладывать средства в инвестиционные фонды, управляющие банками в целом, жилищные сертификаты,золотые и серебряные слитки не так популярны и составляют не более 5% от всех страховых резервов.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Значительная часть резервов связана с этими активами, которые определяются особенностями страховой деятельности и фактически не являются инвестициями. Это, в частности, перестраховочные премии и депозиты дебиторской задолженности.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инвестиционной политики компании является высокий коэффициент доходов, полученных от инвестиций в страховые резервы и собственный капитал. Инвестиционный доход в 01.10. 2018 год составил 832 288 тысяч рублей. Высокий уровень инвестиционного дохода в конце года указывает на большее сопротивление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Таблица 1</w:t>
      </w:r>
    </w:p>
    <w:p>
      <w:pPr>
        <w:spacing w:before="0" w:after="20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инвестиционных доходов за 2016 - 2018 гг. (тыс. руб)</w:t>
      </w:r>
    </w:p>
    <w:tbl>
      <w:tblPr/>
      <w:tblGrid>
        <w:gridCol w:w="3581"/>
        <w:gridCol w:w="982"/>
        <w:gridCol w:w="982"/>
        <w:gridCol w:w="2043"/>
        <w:gridCol w:w="2155"/>
      </w:tblGrid>
      <w:tr>
        <w:trPr>
          <w:trHeight w:val="646" w:hRule="auto"/>
          <w:jc w:val="left"/>
        </w:trPr>
        <w:tc>
          <w:tcPr>
            <w:tcW w:w="3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Инвестиционная деятельность</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 </w:t>
            </w:r>
            <w:r>
              <w:rPr>
                <w:rFonts w:ascii="Times New Roman" w:hAnsi="Times New Roman" w:cs="Times New Roman" w:eastAsia="Times New Roman"/>
                <w:color w:val="auto"/>
                <w:spacing w:val="0"/>
                <w:position w:val="0"/>
                <w:sz w:val="24"/>
                <w:shd w:fill="auto" w:val="clear"/>
              </w:rPr>
              <w:t xml:space="preserve">г.</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 </w:t>
            </w:r>
            <w:r>
              <w:rPr>
                <w:rFonts w:ascii="Times New Roman" w:hAnsi="Times New Roman" w:cs="Times New Roman" w:eastAsia="Times New Roman"/>
                <w:color w:val="auto"/>
                <w:spacing w:val="0"/>
                <w:position w:val="0"/>
                <w:sz w:val="24"/>
                <w:shd w:fill="auto" w:val="clear"/>
              </w:rPr>
              <w:t xml:space="preserve">г.</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Отклонение(+;-)</w:t>
            </w:r>
          </w:p>
        </w:tc>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Темп изменения, %</w:t>
            </w:r>
          </w:p>
        </w:tc>
      </w:tr>
      <w:tr>
        <w:trPr>
          <w:trHeight w:val="341" w:hRule="auto"/>
          <w:jc w:val="left"/>
        </w:trPr>
        <w:tc>
          <w:tcPr>
            <w:tcW w:w="3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Продолжение таблицы 1</w:t>
      </w:r>
    </w:p>
    <w:tbl>
      <w:tblPr/>
      <w:tblGrid>
        <w:gridCol w:w="3897"/>
        <w:gridCol w:w="971"/>
        <w:gridCol w:w="1072"/>
        <w:gridCol w:w="1905"/>
        <w:gridCol w:w="2009"/>
      </w:tblGrid>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Инвестиционная деятельность</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 </w:t>
            </w:r>
            <w:r>
              <w:rPr>
                <w:rFonts w:ascii="Times New Roman" w:hAnsi="Times New Roman" w:cs="Times New Roman" w:eastAsia="Times New Roman"/>
                <w:color w:val="auto"/>
                <w:spacing w:val="0"/>
                <w:position w:val="0"/>
                <w:sz w:val="24"/>
                <w:shd w:fill="auto" w:val="clear"/>
              </w:rPr>
              <w:t xml:space="preserve">г.</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 </w:t>
            </w:r>
            <w:r>
              <w:rPr>
                <w:rFonts w:ascii="Times New Roman" w:hAnsi="Times New Roman" w:cs="Times New Roman" w:eastAsia="Times New Roman"/>
                <w:color w:val="auto"/>
                <w:spacing w:val="0"/>
                <w:position w:val="0"/>
                <w:sz w:val="24"/>
                <w:shd w:fill="auto" w:val="clear"/>
              </w:rPr>
              <w:t xml:space="preserve">г.</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Отклонение(+;-)</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Темп изменения, %</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Процентный доход, руб.</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951515</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1065678</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-114 163</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89,3</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Реализованный доход/ убыток по операциям с инвестиционными ценными бумагами, имеющимися в наличии для продажи, руб.</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165 870</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(312 114)</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477 981</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53,14</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Убыток от обесценения инвестиционных ценных бумаг, имеющихся в наличии для продажи, руб.</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(100 474)</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-100 474</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доходы от инвестиционной деятельности</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21 557</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16 773</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4784</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128,5</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Изменение резерва под обесценение векселей и предоставленных займов</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7 010</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(7 355)</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14 365</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95,3</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Операционные расходы, связанные с инвестиционной деятельностью</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(257 445)</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(150 289)</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107 156</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171,3</w:t>
            </w:r>
          </w:p>
        </w:tc>
      </w:tr>
      <w:tr>
        <w:trPr>
          <w:trHeight w:val="1" w:hRule="atLeast"/>
          <w:jc w:val="left"/>
        </w:trPr>
        <w:tc>
          <w:tcPr>
            <w:tcW w:w="3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Результат</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887 507</w:t>
            </w: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512 219</w:t>
            </w:r>
          </w:p>
        </w:tc>
        <w:tc>
          <w:tcPr>
            <w:tcW w:w="19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375288</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173,3</w:t>
            </w:r>
          </w:p>
        </w:tc>
      </w:tr>
    </w:tbl>
    <w:p>
      <w:pPr>
        <w:spacing w:before="24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согласно таблице 1 инвестиционный доход в 2018 году снизился на 55,219 млн рублей по сравнению с 2017 годом.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этому исследованию, страховые компании и их предыдущая рентабельность, как по инвестициям, так и по активам, еще больше увеличились в течение 2017 года. Согласно расчетам, проведенным на основе анализа финансовых результатов компании, рентабельность вложенного капитала в 2017 году выросла на 1,6% по сравнению с предыдущим годом.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Проведенное исследование показало, что структура портфеля "Альфа Страхование" оптимальна в современных условиях фондового и валютного рынка и определяется на основе принципов диверсификации, ликвидности, доходности и рентабельности инвестиций.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Диверсификация портфеля, а также распределение счетов в надежных российских и зарубежных банках позволяют минимизировать кредитные риски. Портфель компании разделен на несколько сегментов. Ликвидность портфеля обеспечивается краткосрочными государственными ценными бумагами-ГКО/ОФЗ, а также нерыночными банковскими инструментами-векселями и депозитами. Использование высоконадежных долгосрочных валютных облигаций-ОВВЗ-заложило основу для обеспечения постоянного и стабильного финансового состояния компании в будущем. Эти финансовые вложения являются основой стабильности страховой компании.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Таблица 2</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Инвестиционные ценные бумаги, имеющиеся в наличии для продажи (тыс. руб.)</w:t>
      </w:r>
    </w:p>
    <w:tbl>
      <w:tblPr/>
      <w:tblGrid>
        <w:gridCol w:w="7683"/>
        <w:gridCol w:w="1056"/>
        <w:gridCol w:w="1056"/>
      </w:tblGrid>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Показатели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 </w:t>
            </w:r>
            <w:r>
              <w:rPr>
                <w:rFonts w:ascii="Times New Roman" w:hAnsi="Times New Roman" w:cs="Times New Roman" w:eastAsia="Times New Roman"/>
                <w:color w:val="auto"/>
                <w:spacing w:val="0"/>
                <w:position w:val="0"/>
                <w:sz w:val="24"/>
                <w:shd w:fill="auto" w:val="clear"/>
              </w:rPr>
              <w:t xml:space="preserve">г.</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 </w:t>
            </w:r>
            <w:r>
              <w:rPr>
                <w:rFonts w:ascii="Times New Roman" w:hAnsi="Times New Roman" w:cs="Times New Roman" w:eastAsia="Times New Roman"/>
                <w:color w:val="auto"/>
                <w:spacing w:val="0"/>
                <w:position w:val="0"/>
                <w:sz w:val="24"/>
                <w:shd w:fill="auto" w:val="clear"/>
              </w:rPr>
              <w:t xml:space="preserve">г.</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номиналом в российских рублях</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Корпоративные облигации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2295340</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1456330</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Муниципальные облигации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1645384</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1756252</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Паи инвестиционных фондов</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1422108</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1274045</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Государственные облигации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143 235</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635 042</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Корпоративные акции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105 721</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9 034</w:t>
            </w: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номиналом в долларах США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Еврооблигации Российской Федерации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904 520</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1008738</w:t>
            </w:r>
          </w:p>
        </w:tc>
      </w:tr>
      <w:tr>
        <w:trPr>
          <w:trHeight w:val="510"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номиналом в украинских гривнах</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84"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Корпоративные акции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2 475</w:t>
            </w:r>
          </w:p>
        </w:tc>
      </w:tr>
      <w:tr>
        <w:trPr>
          <w:trHeight w:val="995" w:hRule="auto"/>
          <w:jc w:val="left"/>
        </w:trPr>
        <w:tc>
          <w:tcPr>
            <w:tcW w:w="7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 инвестиционные ценные бумаги, имеющиеся в наличии для продажи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6516399</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6141976</w:t>
            </w:r>
          </w:p>
        </w:tc>
      </w:tr>
    </w:tbl>
    <w:p>
      <w:pPr>
        <w:spacing w:before="24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таблице, облигации российских компаний, номинированные в российских рублях со сроком погашения с 2018 по 2025 год, имеют купонную доходность 7-17% годовых (на 31 декабря 2016 года-7-19%) и среднюю эффективную доходность по погашению долга на 31 декабря 2017 года (на 31 декабря 2017 года-9%)-8% годовых (на 31 декабря 2017 года-9%).</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Российские муниципальные облигации номинальной стоимостью в российских рублях имеют срок погашения с 2018 по 2022 год, номинальную купонную доходность 6-15% годовых (31 декабря 2017 года-7-19% годовых) и среднюю эффективную доходность по погашению 8% годовых на 31 декабря 2018 года (31 декабря 2017 года - 11% годовых) в зависимости от выпуска облигаций. Гособлигации номиналом в российских рублях имеют срок погашения с 2019 по 2043 год, купонный доход-6 -12% годовых (31 декабря 2017 года. - 6-12%) и средняя эффективная доходность при погашении 8% годовых по состоянию на 31 декабря 2018 года (31 декабря 2017 года - 8% годовых) в зависимости от выпуска облигаций. Долларовые еврооблигации, выпущенные российским правительством и российскими компаниями, имеют срок погашения с 2019 по 2029 год, купонную доходность 6-13% годовых (31 декабря 2017 года-6-13%) и среднюю эффективную доходность по погашению 6% годовых на 31 декабря 2018 года (31 декабря 2017 года - 7% годовых) в зависимости от выпуска облигаций. Все процентные инвестиционные ценные бумаги, доступные для продажи, имеют фиксированные процентные ставки.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оптимизации инвестиционной политики СК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Альфа Страхование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оптимизации инвестиционной политики Альфа-Страхования лучше всего: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использование дифференцированного подхода к управлению краткосрочными и долгосрочными инвестиционными ресурсами;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инвестирование ресурсов крупных страховых компаний в реальный сектор экономики, поэтому необходимо создать соответствующую нормативную базу и предоставить дополнительные гарантии для обеспечения финансовой стабильности страховых компаний со стороны государства. Инвестиционные приоритеты должны определяться государством в рамках плана государственной инвестиционной политики;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проведение внутреннего и внешнего системного мониторинга (саморегулируемой организацией) состояния амортизации портфеля страховой организации;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четкое соблюдение временных параметров инвестиционного и страхового портфеля должно иметь соответствующую правовую основу;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Создание системы управления инвестициями на основе следующих принципов: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высокая инвестиционная ликвидность;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возврат инвестиций;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строгие ограничения ликвидности;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чувствительность к изменениям процентных ставок и доходности отдельных инвестиционных элементов портфеля, чтобы сгладить последствия его снижения;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сформировать инвестиционную политику обязательно с учетом: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особенности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страховании и налогах</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финансовое положение страховой компании и ее потребности в ликвидности;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текущие рыночные условия.</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состояние страхового рынка России характеризуется повышенной конкуренцией со стороны страховых компаний. Среди конкурентов страховые компании ориентируются в первую очередь на улучшение потребительских свойств страховых продуктов. К основным свойствам последнего, в первую очередь, относятся его стоимость (страховой тариф) и условия ответственности страховой компании. Основным критерием успеха Альфа-Страхования станет качество предоставляемых услуг.</w:t>
      </w:r>
    </w:p>
    <w:p>
      <w:pPr>
        <w:spacing w:before="0" w:after="0" w:line="36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32"/>
          <w:shd w:fill="auto" w:val="clear"/>
        </w:rPr>
        <w:t xml:space="preserve">СПИСОК ЛИТЕРАТУРЫ</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Бабук И.М. Инвестиции: Финансирование и оценка экономической эффективности.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 ВУЗ-ЮНИТИ, 2016.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317</w:t>
      </w:r>
      <w:r>
        <w:rPr>
          <w:rFonts w:ascii="Times New Roman" w:hAnsi="Times New Roman" w:cs="Times New Roman" w:eastAsia="Times New Roman"/>
          <w:color w:val="auto"/>
          <w:spacing w:val="0"/>
          <w:position w:val="0"/>
          <w:sz w:val="28"/>
          <w:shd w:fill="auto" w:val="clear"/>
        </w:rPr>
        <w:t xml:space="preserve">с.</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Бланк И.А. Основы финансового менеджмента. Т.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Ника-Центр, 2017.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260</w:t>
      </w:r>
      <w:r>
        <w:rPr>
          <w:rFonts w:ascii="Times New Roman" w:hAnsi="Times New Roman" w:cs="Times New Roman" w:eastAsia="Times New Roman"/>
          <w:color w:val="auto"/>
          <w:spacing w:val="0"/>
          <w:position w:val="0"/>
          <w:sz w:val="28"/>
          <w:shd w:fill="auto" w:val="clear"/>
        </w:rPr>
        <w:t xml:space="preserve">с.</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Бясов К.Т. Основные аспекты разработки инвестиционной стратегии организации//Финансовый менеджмент.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65-74.</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Володин А.А. Финансы предприятия. - М.: ИНФРА-М, 2017.</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Ковалев В.В. Финансы предприятий. - М.: Проспект, 2018.</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Павлова Л.Н. Финансовый менеджмент: Учебник для вузов. - М.: ЮНИТИ-ДАНА, 2016.</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Селезнева Н.Н. Финансовый анализ. - М.: ЮНИТИ, 2016.</w:t>
      </w:r>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https://assistentus.ru</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https://www.alfastrah.ru</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https://refdb.ru</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https://studbooks.net</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https://students-library.com</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https://studfiles.net</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https://vuzlit.ru</w:t>
        </w:r>
      </w:hyperlink>
    </w:p>
    <w:p>
      <w:pPr>
        <w:numPr>
          <w:ilvl w:val="0"/>
          <w:numId w:val="71"/>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https://ru.wikipedia.org</w:t>
        </w:r>
      </w:hyperlink>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br/>
      </w:r>
    </w:p>
    <w:p>
      <w:pPr>
        <w:spacing w:before="240" w:after="0" w:line="360"/>
        <w:ind w:right="0" w:left="0" w:firstLine="2835"/>
        <w:jc w:val="left"/>
        <w:rPr>
          <w:rFonts w:ascii="Times New Roman" w:hAnsi="Times New Roman" w:cs="Times New Roman" w:eastAsia="Times New Roman"/>
          <w:b/>
          <w:color w:val="auto"/>
          <w:spacing w:val="0"/>
          <w:position w:val="0"/>
          <w:sz w:val="32"/>
          <w:shd w:fill="auto" w:val="clear"/>
        </w:rPr>
      </w:pPr>
    </w:p>
    <w:p>
      <w:pPr>
        <w:tabs>
          <w:tab w:val="left" w:pos="723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tudbooks.net/" Id="docRId3" Type="http://schemas.openxmlformats.org/officeDocument/2006/relationships/hyperlink" /><Relationship TargetMode="External" Target="https://ru.wikipedia.org/" Id="docRId7" Type="http://schemas.openxmlformats.org/officeDocument/2006/relationships/hyperlink" /><Relationship TargetMode="External" Target="https://assistentus.ru/" Id="docRId0" Type="http://schemas.openxmlformats.org/officeDocument/2006/relationships/hyperlink" /><Relationship TargetMode="External" Target="https://refdb.ru/" Id="docRId2" Type="http://schemas.openxmlformats.org/officeDocument/2006/relationships/hyperlink" /><Relationship TargetMode="External" Target="https://students-library.com/" Id="docRId4" Type="http://schemas.openxmlformats.org/officeDocument/2006/relationships/hyperlink" /><Relationship TargetMode="External" Target="https://vuzlit.ru/" Id="docRId6" Type="http://schemas.openxmlformats.org/officeDocument/2006/relationships/hyperlink" /><Relationship Target="numbering.xml" Id="docRId8" Type="http://schemas.openxmlformats.org/officeDocument/2006/relationships/numbering" /><Relationship TargetMode="External" Target="https://www.alfastrah.ru/" Id="docRId1" Type="http://schemas.openxmlformats.org/officeDocument/2006/relationships/hyperlink" /><Relationship TargetMode="External" Target="https://studfiles.net/" Id="docRId5" Type="http://schemas.openxmlformats.org/officeDocument/2006/relationships/hyperlink" /><Relationship Target="styles.xml" Id="docRId9" Type="http://schemas.openxmlformats.org/officeDocument/2006/relationships/styles" /></Relationships>
</file>